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08" w:rsidRPr="005D1904" w:rsidRDefault="00AF39DC" w:rsidP="005D1904">
      <w:pPr>
        <w:ind w:left="3600"/>
        <w:rPr>
          <w:rFonts w:ascii="Tahoma" w:hAnsi="Tahoma"/>
          <w:b/>
          <w:sz w:val="48"/>
          <w:szCs w:val="48"/>
        </w:rPr>
      </w:pPr>
      <w:r w:rsidRPr="005D1904">
        <w:rPr>
          <w:rFonts w:ascii="Tahoma" w:hAnsi="Tahoma" w:cs="Arial"/>
          <w:b/>
          <w:noProof/>
          <w:sz w:val="48"/>
          <w:szCs w:val="48"/>
        </w:rPr>
        <w:drawing>
          <wp:anchor distT="0" distB="0" distL="114300" distR="114300" simplePos="0" relativeHeight="251659264" behindDoc="0" locked="0" layoutInCell="1" allowOverlap="1" wp14:anchorId="299835A6" wp14:editId="4F4EF9CB">
            <wp:simplePos x="0" y="0"/>
            <wp:positionH relativeFrom="column">
              <wp:posOffset>0</wp:posOffset>
            </wp:positionH>
            <wp:positionV relativeFrom="paragraph">
              <wp:posOffset>-457200</wp:posOffset>
            </wp:positionV>
            <wp:extent cx="1160639" cy="1143000"/>
            <wp:effectExtent l="0" t="0" r="8255" b="0"/>
            <wp:wrapNone/>
            <wp:docPr id="11" name="Picture 11" descr="LOGO - VMU - for PRINTING -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VMU - for PRINTING - 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639"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D1904">
        <w:rPr>
          <w:rFonts w:ascii="Tahoma" w:hAnsi="Tahoma"/>
          <w:b/>
          <w:sz w:val="48"/>
          <w:szCs w:val="48"/>
        </w:rPr>
        <w:t>Vine</w:t>
      </w:r>
      <w:r w:rsidR="00C401E8" w:rsidRPr="005D1904">
        <w:rPr>
          <w:rFonts w:ascii="Tahoma" w:hAnsi="Tahoma"/>
          <w:b/>
          <w:sz w:val="48"/>
          <w:szCs w:val="48"/>
        </w:rPr>
        <w:t xml:space="preserve"> University</w:t>
      </w:r>
    </w:p>
    <w:p w:rsidR="00C401E8" w:rsidRPr="005D1904" w:rsidRDefault="00C401E8" w:rsidP="005D1904">
      <w:pPr>
        <w:ind w:left="3600"/>
        <w:rPr>
          <w:rFonts w:ascii="Tahoma" w:hAnsi="Tahoma"/>
          <w:sz w:val="28"/>
          <w:szCs w:val="28"/>
        </w:rPr>
      </w:pPr>
      <w:r w:rsidRPr="005D1904">
        <w:rPr>
          <w:rFonts w:ascii="Tahoma" w:hAnsi="Tahoma"/>
          <w:sz w:val="28"/>
          <w:szCs w:val="28"/>
        </w:rPr>
        <w:t>The Policy of Credit Transfer</w:t>
      </w:r>
    </w:p>
    <w:p w:rsidR="00C401E8" w:rsidRPr="005D1904" w:rsidRDefault="005D1904" w:rsidP="005D1904">
      <w:pPr>
        <w:tabs>
          <w:tab w:val="left" w:pos="4320"/>
        </w:tabs>
        <w:ind w:left="3600" w:right="-990" w:firstLine="180"/>
        <w:rPr>
          <w:rFonts w:ascii="Tahoma" w:eastAsia="바탕" w:hAnsi="Tahoma" w:cs="바탕"/>
          <w:sz w:val="28"/>
          <w:szCs w:val="28"/>
          <w:lang w:eastAsia="ko-KR"/>
        </w:rPr>
      </w:pPr>
      <w:r>
        <w:rPr>
          <w:rFonts w:ascii="Tahoma" w:eastAsia="바탕" w:hAnsi="Tahoma" w:cs="바탕"/>
          <w:noProof/>
        </w:rPr>
        <mc:AlternateContent>
          <mc:Choice Requires="wps">
            <w:drawing>
              <wp:anchor distT="0" distB="0" distL="114300" distR="114300" simplePos="0" relativeHeight="251660288" behindDoc="0" locked="0" layoutInCell="1" allowOverlap="1" wp14:anchorId="6489B09D" wp14:editId="1149530D">
                <wp:simplePos x="0" y="0"/>
                <wp:positionH relativeFrom="column">
                  <wp:posOffset>-228600</wp:posOffset>
                </wp:positionH>
                <wp:positionV relativeFrom="paragraph">
                  <wp:posOffset>217805</wp:posOffset>
                </wp:positionV>
                <wp:extent cx="0" cy="7658100"/>
                <wp:effectExtent l="25400" t="0" r="25400" b="12700"/>
                <wp:wrapNone/>
                <wp:docPr id="2" name="Straight Connector 2"/>
                <wp:cNvGraphicFramePr/>
                <a:graphic xmlns:a="http://schemas.openxmlformats.org/drawingml/2006/main">
                  <a:graphicData uri="http://schemas.microsoft.com/office/word/2010/wordprocessingShape">
                    <wps:wsp>
                      <wps:cNvCnPr/>
                      <wps:spPr>
                        <a:xfrm>
                          <a:off x="0" y="0"/>
                          <a:ext cx="0" cy="7658100"/>
                        </a:xfrm>
                        <a:prstGeom prst="line">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17.15pt" to="-17.95pt,6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" strokecolor="black [3213]" strokeweight="3pt"/>
            </w:pict>
          </mc:Fallback>
        </mc:AlternateContent>
      </w:r>
      <w:r w:rsidR="00C401E8" w:rsidRPr="005D1904">
        <w:rPr>
          <w:rFonts w:ascii="Tahoma" w:hAnsi="Tahoma"/>
          <w:sz w:val="28"/>
          <w:szCs w:val="28"/>
        </w:rPr>
        <w:t>(</w:t>
      </w:r>
      <w:r w:rsidR="00C401E8" w:rsidRPr="005D1904">
        <w:rPr>
          <w:rFonts w:ascii="Tahoma" w:eastAsia="바탕" w:hAnsi="Tahoma" w:cs="바탕"/>
          <w:sz w:val="28"/>
          <w:szCs w:val="28"/>
          <w:lang w:eastAsia="ko-KR"/>
        </w:rPr>
        <w:t>전학시의</w:t>
      </w:r>
      <w:r w:rsidR="00C401E8" w:rsidRPr="005D1904">
        <w:rPr>
          <w:rFonts w:ascii="Tahoma" w:eastAsia="바탕" w:hAnsi="Tahoma" w:cs="바탕"/>
          <w:sz w:val="28"/>
          <w:szCs w:val="28"/>
          <w:lang w:eastAsia="ko-KR"/>
        </w:rPr>
        <w:t xml:space="preserve"> </w:t>
      </w:r>
      <w:r w:rsidR="00C401E8" w:rsidRPr="005D1904">
        <w:rPr>
          <w:rFonts w:ascii="Tahoma" w:eastAsia="바탕" w:hAnsi="Tahoma" w:cs="바탕"/>
          <w:sz w:val="28"/>
          <w:szCs w:val="28"/>
          <w:lang w:eastAsia="ko-KR"/>
        </w:rPr>
        <w:t>학점인정</w:t>
      </w:r>
      <w:r w:rsidR="00C401E8" w:rsidRPr="005D1904">
        <w:rPr>
          <w:rFonts w:ascii="Tahoma" w:eastAsia="바탕" w:hAnsi="Tahoma" w:cs="바탕"/>
          <w:sz w:val="28"/>
          <w:szCs w:val="28"/>
          <w:lang w:eastAsia="ko-KR"/>
        </w:rPr>
        <w:t xml:space="preserve"> </w:t>
      </w:r>
      <w:r w:rsidR="00C401E8" w:rsidRPr="005D1904">
        <w:rPr>
          <w:rFonts w:ascii="Tahoma" w:eastAsia="바탕" w:hAnsi="Tahoma" w:cs="바탕"/>
          <w:sz w:val="28"/>
          <w:szCs w:val="28"/>
          <w:lang w:eastAsia="ko-KR"/>
        </w:rPr>
        <w:t>방침</w:t>
      </w:r>
      <w:r w:rsidR="00C401E8" w:rsidRPr="005D1904">
        <w:rPr>
          <w:rFonts w:ascii="Tahoma" w:eastAsia="바탕" w:hAnsi="Tahoma" w:cs="바탕"/>
          <w:sz w:val="28"/>
          <w:szCs w:val="28"/>
          <w:lang w:eastAsia="ko-KR"/>
        </w:rPr>
        <w:t>)</w:t>
      </w:r>
    </w:p>
    <w:p w:rsidR="005D1904" w:rsidRPr="005D1904" w:rsidRDefault="00AF39DC" w:rsidP="005D1904">
      <w:pPr>
        <w:rPr>
          <w:rFonts w:ascii="Tahoma" w:eastAsia="바탕" w:hAnsi="Tahoma" w:cs="바탕"/>
          <w:lang w:eastAsia="ko-KR"/>
        </w:rPr>
      </w:pPr>
      <w:r>
        <w:rPr>
          <w:rFonts w:ascii="Tahoma" w:eastAsia="바탕" w:hAnsi="Tahoma" w:cs="바탕"/>
          <w:lang w:eastAsia="ko-KR"/>
        </w:rPr>
        <w:tab/>
      </w:r>
    </w:p>
    <w:p w:rsidR="005D1904" w:rsidRDefault="005D1904" w:rsidP="005D1904">
      <w:pPr>
        <w:spacing w:line="360" w:lineRule="auto"/>
        <w:ind w:left="270" w:hanging="270"/>
        <w:rPr>
          <w:rFonts w:ascii="Tahoma" w:eastAsia="바탕" w:hAnsi="Tahoma" w:cs="바탕"/>
          <w:b/>
          <w:sz w:val="20"/>
          <w:szCs w:val="20"/>
          <w:lang w:eastAsia="ko-KR"/>
        </w:rPr>
      </w:pPr>
    </w:p>
    <w:p w:rsidR="00C401E8" w:rsidRPr="005D1904" w:rsidRDefault="00C401E8" w:rsidP="005D1904">
      <w:pPr>
        <w:spacing w:line="360" w:lineRule="auto"/>
        <w:ind w:left="270" w:hanging="270"/>
        <w:rPr>
          <w:rFonts w:ascii="Tahoma" w:eastAsia="바탕" w:hAnsi="Tahoma" w:cs="바탕"/>
          <w:b/>
          <w:sz w:val="20"/>
          <w:szCs w:val="20"/>
          <w:lang w:eastAsia="ko-KR"/>
        </w:rPr>
      </w:pPr>
      <w:r w:rsidRPr="005D1904">
        <w:rPr>
          <w:rFonts w:ascii="Tahoma" w:eastAsia="바탕" w:hAnsi="Tahoma" w:cs="바탕"/>
          <w:b/>
          <w:sz w:val="20"/>
          <w:szCs w:val="20"/>
          <w:lang w:eastAsia="ko-KR"/>
        </w:rPr>
        <w:t>A. Transferring Credits (Acceptance of Credits)</w:t>
      </w:r>
    </w:p>
    <w:p w:rsidR="00C401E8" w:rsidRPr="005D1904" w:rsidRDefault="00C401E8"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 xml:space="preserve">Students from accredited institution. Credit may be given for courses in which a grade of “C” or above for undergraduate courses (“B” or above for graduate courses) has been earned and which correlates with the courses required for the completion of the program to which the student was admitted. The maximum credit transferable is 50% of total graduate credits for each program. Therefore, the transferable credit is 64 semester credits for the bachelor degree, 34 semester credits for the M.R.E, and 52 semester credits for the M.Div. In special cases, exceptional transfer will be accepted by the process of the evaluations of faculty and admission committee. </w:t>
      </w:r>
    </w:p>
    <w:p w:rsidR="00C401E8" w:rsidRPr="005D1904" w:rsidRDefault="00C401E8"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Academic work done at accredited institutions, or at schools in Korea that have recognition from the ministry of education, will be transferred to Vine programs if the work fits into our curriculum (e.g. there is not room for 55 credits of engineering classes in the electives and general education portions of our curriculum). The transfer policy for work done at unaccredited American schools or schools in Korea that have not achieved recognition by the Ministry of Education is as follows:</w:t>
      </w:r>
    </w:p>
    <w:p w:rsidR="00C401E8" w:rsidRPr="005D1904" w:rsidRDefault="00C401E8"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Full credit may be granted for each credit earned at a school that has achieved candidacy with an accrediting agency that is approved by the US Department of Education or the Council for Higher Education Accreditation (if the class fits into our curriculum).</w:t>
      </w:r>
    </w:p>
    <w:p w:rsidR="00C401E8" w:rsidRDefault="00C401E8"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It is the student’s responsibility to request that each institution attended send official transcripts directly to Vine University of Admissions for evaluation. Coursework that fits into our curriculum and was earned from an accredited school is normally transferred into our program on an equal credit for credit basis. The procedure for determining whether transfer credit from unaccredited institutions is as follows:</w:t>
      </w:r>
    </w:p>
    <w:p w:rsidR="005D1904" w:rsidRPr="005D1904" w:rsidRDefault="005D1904" w:rsidP="005D1904">
      <w:pPr>
        <w:spacing w:line="360" w:lineRule="auto"/>
        <w:rPr>
          <w:rFonts w:ascii="Tahoma" w:eastAsia="바탕" w:hAnsi="Tahoma" w:cs="바탕"/>
          <w:sz w:val="20"/>
          <w:szCs w:val="20"/>
          <w:lang w:eastAsia="ko-KR"/>
        </w:rPr>
      </w:pPr>
    </w:p>
    <w:p w:rsidR="00C401E8" w:rsidRPr="005D1904" w:rsidRDefault="00C401E8" w:rsidP="005D1904">
      <w:pPr>
        <w:pStyle w:val="ListParagraph"/>
        <w:numPr>
          <w:ilvl w:val="0"/>
          <w:numId w:val="1"/>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The academic den or registrar will research the institution in question (e.g., do internet or telephone research to determine faculty credentials, hours of coursework per credit, library resources, names of accredited schools accepting coursework from this insitituiton...)</w:t>
      </w:r>
    </w:p>
    <w:p w:rsidR="00C401E8" w:rsidRPr="005D1904" w:rsidRDefault="00C401E8" w:rsidP="005D1904">
      <w:pPr>
        <w:pStyle w:val="ListParagraph"/>
        <w:numPr>
          <w:ilvl w:val="0"/>
          <w:numId w:val="1"/>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The student is expected to demonstrate the equivalence between the courses in question, e.g., by showing the syllabus of the course previously taken.</w:t>
      </w:r>
    </w:p>
    <w:p w:rsidR="00C401E8" w:rsidRPr="005D1904" w:rsidRDefault="00C401E8" w:rsidP="005D1904">
      <w:pPr>
        <w:pStyle w:val="ListParagraph"/>
        <w:numPr>
          <w:ilvl w:val="0"/>
          <w:numId w:val="1"/>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The Dean of Academic Affairs, in consul</w:t>
      </w:r>
      <w:r w:rsidR="00037721" w:rsidRPr="005D1904">
        <w:rPr>
          <w:rFonts w:ascii="Tahoma" w:eastAsia="바탕" w:hAnsi="Tahoma" w:cs="바탕"/>
          <w:sz w:val="20"/>
          <w:szCs w:val="20"/>
          <w:lang w:eastAsia="ko-KR"/>
        </w:rPr>
        <w:t xml:space="preserve">tation with the Vine instructor who teaches the equivalent course, determines the transferability of the credit by reviewing the material presented by the student. </w:t>
      </w:r>
    </w:p>
    <w:p w:rsidR="00037721" w:rsidRPr="005D1904" w:rsidRDefault="00037721" w:rsidP="005D1904">
      <w:pPr>
        <w:pStyle w:val="ListParagraph"/>
        <w:numPr>
          <w:ilvl w:val="0"/>
          <w:numId w:val="1"/>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The grade for the course for which the credit transfer is sought must be least “C” for undergraduate courses and “B” for graduate courses.</w:t>
      </w:r>
    </w:p>
    <w:p w:rsidR="00037721" w:rsidRPr="005D1904" w:rsidRDefault="005D1904" w:rsidP="005D1904">
      <w:pPr>
        <w:pStyle w:val="ListParagraph"/>
        <w:numPr>
          <w:ilvl w:val="0"/>
          <w:numId w:val="1"/>
        </w:numPr>
        <w:spacing w:line="360" w:lineRule="auto"/>
        <w:rPr>
          <w:rFonts w:ascii="Tahoma" w:eastAsia="바탕" w:hAnsi="Tahoma" w:cs="바탕"/>
          <w:sz w:val="20"/>
          <w:szCs w:val="20"/>
          <w:lang w:eastAsia="ko-KR"/>
        </w:rPr>
      </w:pPr>
      <w:r>
        <w:rPr>
          <w:rFonts w:ascii="Tahoma" w:eastAsia="바탕" w:hAnsi="Tahoma" w:cs="바탕"/>
          <w:noProof/>
          <w:sz w:val="20"/>
          <w:szCs w:val="20"/>
        </w:rPr>
        <mc:AlternateContent>
          <mc:Choice Requires="wps">
            <w:drawing>
              <wp:anchor distT="0" distB="0" distL="114300" distR="114300" simplePos="0" relativeHeight="251661312" behindDoc="0" locked="0" layoutInCell="1" allowOverlap="1" wp14:anchorId="695E738C" wp14:editId="6783B386">
                <wp:simplePos x="0" y="0"/>
                <wp:positionH relativeFrom="column">
                  <wp:posOffset>-228600</wp:posOffset>
                </wp:positionH>
                <wp:positionV relativeFrom="paragraph">
                  <wp:posOffset>-457200</wp:posOffset>
                </wp:positionV>
                <wp:extent cx="0" cy="9029700"/>
                <wp:effectExtent l="25400" t="0" r="25400" b="12700"/>
                <wp:wrapNone/>
                <wp:docPr id="3" name="Straight Connector 3"/>
                <wp:cNvGraphicFramePr/>
                <a:graphic xmlns:a="http://schemas.openxmlformats.org/drawingml/2006/main">
                  <a:graphicData uri="http://schemas.microsoft.com/office/word/2010/wordprocessingShape">
                    <wps:wsp>
                      <wps:cNvCnPr/>
                      <wps:spPr>
                        <a:xfrm>
                          <a:off x="0" y="0"/>
                          <a:ext cx="0" cy="902970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35.95pt" to="-17.95pt,67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" strokecolor="black [3213]" strokeweight="3pt"/>
            </w:pict>
          </mc:Fallback>
        </mc:AlternateContent>
      </w:r>
      <w:r w:rsidR="00037721" w:rsidRPr="005D1904">
        <w:rPr>
          <w:rFonts w:ascii="Tahoma" w:eastAsia="바탕" w:hAnsi="Tahoma" w:cs="바탕"/>
          <w:sz w:val="20"/>
          <w:szCs w:val="20"/>
          <w:lang w:eastAsia="ko-KR"/>
        </w:rPr>
        <w:t>A faculty and academic staff committee will award credit for unaccredited coursework will be awarded as follows:</w:t>
      </w:r>
    </w:p>
    <w:p w:rsidR="00037721" w:rsidRPr="005D1904" w:rsidRDefault="00037721" w:rsidP="005D1904">
      <w:pPr>
        <w:spacing w:line="360" w:lineRule="auto"/>
        <w:ind w:left="360"/>
        <w:rPr>
          <w:rFonts w:ascii="Tahoma" w:eastAsia="바탕" w:hAnsi="Tahoma" w:cs="바탕"/>
          <w:sz w:val="20"/>
          <w:szCs w:val="20"/>
          <w:lang w:eastAsia="ko-KR"/>
        </w:rPr>
      </w:pPr>
    </w:p>
    <w:p w:rsidR="00037721" w:rsidRPr="005D1904" w:rsidRDefault="00037721" w:rsidP="005D1904">
      <w:pPr>
        <w:pStyle w:val="ListParagraph"/>
        <w:numPr>
          <w:ilvl w:val="0"/>
          <w:numId w:val="5"/>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1/2 of a credit may be granted for each credit earned at an unaccredited American school that has achieved applicant status with the ABHE and TRACS (the class must fit our curriculum)</w:t>
      </w:r>
    </w:p>
    <w:p w:rsidR="00037721" w:rsidRPr="005D1904" w:rsidRDefault="00037721" w:rsidP="005D1904">
      <w:pPr>
        <w:pStyle w:val="ListParagraph"/>
        <w:numPr>
          <w:ilvl w:val="0"/>
          <w:numId w:val="5"/>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lastRenderedPageBreak/>
        <w:t>1/3 of a credit may be granted for each credit earned at an unaccredited American school that has achieved state approval (the class must fit out curriculum)</w:t>
      </w:r>
    </w:p>
    <w:p w:rsidR="00037721" w:rsidRPr="005D1904" w:rsidRDefault="00037721" w:rsidP="005D1904">
      <w:pPr>
        <w:pStyle w:val="ListParagraph"/>
        <w:numPr>
          <w:ilvl w:val="0"/>
          <w:numId w:val="5"/>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1/3 of a credit may be granted for each credit earned at an unaccredited American school that has not achieved state approval – with a limit of 20 credits accepted (for 60 or more credits work)</w:t>
      </w:r>
    </w:p>
    <w:p w:rsidR="00037721" w:rsidRPr="005D1904" w:rsidRDefault="00037721" w:rsidP="005D1904">
      <w:pPr>
        <w:pStyle w:val="ListParagraph"/>
        <w:numPr>
          <w:ilvl w:val="0"/>
          <w:numId w:val="5"/>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1/3 of a credit may be granted for each credit earned at a Korean school that has not achieved recognition by the Ministry of Education – with a limit of 20 credits accepted (for 60 or more credits work)</w:t>
      </w:r>
    </w:p>
    <w:p w:rsidR="00037721" w:rsidRPr="005D1904" w:rsidRDefault="00037721" w:rsidP="005D1904">
      <w:pPr>
        <w:spacing w:line="360" w:lineRule="auto"/>
        <w:rPr>
          <w:rFonts w:ascii="Tahoma" w:eastAsia="바탕" w:hAnsi="Tahoma" w:cs="바탕"/>
          <w:sz w:val="20"/>
          <w:szCs w:val="20"/>
          <w:lang w:eastAsia="ko-KR"/>
        </w:rPr>
      </w:pPr>
    </w:p>
    <w:p w:rsidR="00037721" w:rsidRPr="005D1904" w:rsidRDefault="00037721"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 xml:space="preserve">Students wishing to transfer credits into Vine should include a note in their application packet indicating which transcripts should be assessed for transferable credit. When receiving an acceptance letter into a Vine program, the letter should include the </w:t>
      </w:r>
      <w:r w:rsidR="00BF6237" w:rsidRPr="005D1904">
        <w:rPr>
          <w:rFonts w:ascii="Tahoma" w:eastAsia="바탕" w:hAnsi="Tahoma" w:cs="바탕"/>
          <w:sz w:val="20"/>
          <w:szCs w:val="20"/>
          <w:lang w:eastAsia="ko-KR"/>
        </w:rPr>
        <w:t xml:space="preserve">list of accepted transfer classes. If the list is not included, please contact the office of the academic dean. </w:t>
      </w:r>
    </w:p>
    <w:p w:rsidR="00BF6237" w:rsidRPr="005D1904" w:rsidRDefault="00BF6237" w:rsidP="005D1904">
      <w:pPr>
        <w:spacing w:line="360" w:lineRule="auto"/>
        <w:rPr>
          <w:rFonts w:ascii="Tahoma" w:eastAsia="바탕" w:hAnsi="Tahoma" w:cs="바탕"/>
          <w:sz w:val="20"/>
          <w:szCs w:val="20"/>
          <w:lang w:eastAsia="ko-KR"/>
        </w:rPr>
      </w:pPr>
    </w:p>
    <w:p w:rsidR="00BF6237" w:rsidRPr="005D1904" w:rsidRDefault="00BF6237"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In some cases, students take transferable courses while attending Vine (or did not ask for transfer credits when applying to Vine). It is important that students request transfer credits as soon as possible. In some cases, a student may take a Vine class that could have been transferred from a previous transcript. Since we cannot give credit for taking the same class twice, the student has wasted time and money. In other cases, a student may assume that a class would be transferred. By the time the student learns that the course was not accepted for transfer (or not accepted for full credit), he or she may have missed the chance to enroll in a class needed for graduation.</w:t>
      </w:r>
    </w:p>
    <w:p w:rsidR="00BF6237" w:rsidRPr="005D1904" w:rsidRDefault="00BF6237" w:rsidP="005D1904">
      <w:pPr>
        <w:spacing w:line="360" w:lineRule="auto"/>
        <w:rPr>
          <w:rFonts w:ascii="Tahoma" w:eastAsia="바탕" w:hAnsi="Tahoma" w:cs="바탕"/>
          <w:sz w:val="20"/>
          <w:szCs w:val="20"/>
          <w:lang w:eastAsia="ko-KR"/>
        </w:rPr>
      </w:pPr>
    </w:p>
    <w:p w:rsidR="00BF6237" w:rsidRPr="005D1904" w:rsidRDefault="00BF6237" w:rsidP="005D1904">
      <w:pPr>
        <w:spacing w:line="360" w:lineRule="auto"/>
        <w:rPr>
          <w:rFonts w:ascii="Tahoma" w:eastAsia="바탕" w:hAnsi="Tahoma" w:cs="바탕"/>
          <w:b/>
          <w:sz w:val="20"/>
          <w:szCs w:val="20"/>
          <w:lang w:eastAsia="ko-KR"/>
        </w:rPr>
      </w:pPr>
      <w:r w:rsidRPr="005D1904">
        <w:rPr>
          <w:rFonts w:ascii="Tahoma" w:eastAsia="바탕" w:hAnsi="Tahoma" w:cs="바탕"/>
          <w:b/>
          <w:sz w:val="20"/>
          <w:szCs w:val="20"/>
          <w:lang w:eastAsia="ko-KR"/>
        </w:rPr>
        <w:t>B. Notice Concerning Transferability of Credits and Credentials Earned at This Institution</w:t>
      </w:r>
    </w:p>
    <w:p w:rsidR="00BF6237" w:rsidRPr="005D1904" w:rsidRDefault="00BF6237" w:rsidP="005D1904">
      <w:p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The transferability of credits you earn at Vine University is at the complete discretion of an institution to which you may seek to transfer. Acceptance of the Undergraduate or Graduate degree you earn in Vine is also at the complete discretion of the institution to which you may see to transfer. If the degrees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Vine to determine if your degree will transfer.</w:t>
      </w:r>
    </w:p>
    <w:p w:rsidR="00BF6237" w:rsidRPr="005D1904" w:rsidRDefault="00BF6237" w:rsidP="005D1904">
      <w:pPr>
        <w:spacing w:line="360" w:lineRule="auto"/>
        <w:rPr>
          <w:rFonts w:ascii="Tahoma" w:eastAsia="바탕" w:hAnsi="Tahoma" w:cs="바탕"/>
          <w:sz w:val="20"/>
          <w:szCs w:val="20"/>
          <w:lang w:eastAsia="ko-KR"/>
        </w:rPr>
      </w:pPr>
    </w:p>
    <w:p w:rsidR="00BF6237" w:rsidRPr="005D1904" w:rsidRDefault="005D1904" w:rsidP="005D1904">
      <w:pPr>
        <w:pStyle w:val="ListParagraph"/>
        <w:numPr>
          <w:ilvl w:val="0"/>
          <w:numId w:val="6"/>
        </w:numPr>
        <w:spacing w:line="360" w:lineRule="auto"/>
        <w:rPr>
          <w:rFonts w:ascii="Tahoma" w:eastAsia="바탕" w:hAnsi="Tahoma" w:cs="바탕"/>
          <w:sz w:val="20"/>
          <w:szCs w:val="20"/>
          <w:lang w:eastAsia="ko-KR"/>
        </w:rPr>
      </w:pPr>
      <w:r>
        <w:rPr>
          <w:rFonts w:ascii="Tahoma" w:eastAsia="바탕" w:hAnsi="Tahoma" w:cs="바탕"/>
          <w:noProof/>
          <w:sz w:val="20"/>
          <w:szCs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-342900</wp:posOffset>
                </wp:positionV>
                <wp:extent cx="0" cy="8915400"/>
                <wp:effectExtent l="25400" t="0" r="25400" b="0"/>
                <wp:wrapNone/>
                <wp:docPr id="4" name="Straight Connector 4"/>
                <wp:cNvGraphicFramePr/>
                <a:graphic xmlns:a="http://schemas.openxmlformats.org/drawingml/2006/main">
                  <a:graphicData uri="http://schemas.microsoft.com/office/word/2010/wordprocessingShape">
                    <wps:wsp>
                      <wps:cNvCnPr/>
                      <wps:spPr>
                        <a:xfrm>
                          <a:off x="0" y="0"/>
                          <a:ext cx="0" cy="891540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26.95pt" to="-17.95pt,67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" strokecolor="black [3213]" strokeweight="3pt"/>
            </w:pict>
          </mc:Fallback>
        </mc:AlternateContent>
      </w:r>
      <w:r w:rsidR="00BF6237" w:rsidRPr="005D1904">
        <w:rPr>
          <w:rFonts w:ascii="Tahoma" w:eastAsia="바탕" w:hAnsi="Tahoma" w:cs="바탕"/>
          <w:sz w:val="20"/>
          <w:szCs w:val="20"/>
          <w:lang w:eastAsia="ko-KR"/>
        </w:rPr>
        <w:t>성적증명서는</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타</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학교에서</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미</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개봉</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상태로</w:t>
      </w:r>
      <w:r w:rsidR="00BF6237" w:rsidRPr="005D1904">
        <w:rPr>
          <w:rFonts w:ascii="Tahoma" w:eastAsia="바탕" w:hAnsi="Tahoma" w:cs="바탕"/>
          <w:sz w:val="20"/>
          <w:szCs w:val="20"/>
          <w:lang w:eastAsia="ko-KR"/>
        </w:rPr>
        <w:t xml:space="preserve"> Vine</w:t>
      </w:r>
      <w:r w:rsidR="00BF6237" w:rsidRPr="005D1904">
        <w:rPr>
          <w:rFonts w:ascii="Tahoma" w:eastAsia="바탕" w:hAnsi="Tahoma" w:cs="바탕"/>
          <w:sz w:val="20"/>
          <w:szCs w:val="20"/>
          <w:lang w:eastAsia="ko-KR"/>
        </w:rPr>
        <w:t>에</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보내어</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졌을</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때</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공식적으로</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인정받게</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됩니다</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학생은</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교무처장과</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약속을</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하고</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만나서</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학점인정을</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위한</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성적표</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분석을</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하도록</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해야</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합니다</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인정받을</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수</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있는</w:t>
      </w:r>
      <w:r w:rsidR="00BF6237" w:rsidRPr="005D1904">
        <w:rPr>
          <w:rFonts w:ascii="Tahoma" w:eastAsia="바탕" w:hAnsi="Tahoma" w:cs="바탕"/>
          <w:sz w:val="20"/>
          <w:szCs w:val="20"/>
          <w:lang w:eastAsia="ko-KR"/>
        </w:rPr>
        <w:t xml:space="preserve"> </w:t>
      </w:r>
      <w:r w:rsidR="00BF6237" w:rsidRPr="005D1904">
        <w:rPr>
          <w:rFonts w:ascii="Tahoma" w:eastAsia="바탕" w:hAnsi="Tahoma" w:cs="바탕"/>
          <w:sz w:val="20"/>
          <w:szCs w:val="20"/>
          <w:lang w:eastAsia="ko-KR"/>
        </w:rPr>
        <w:t>학점의</w:t>
      </w:r>
      <w:r w:rsidR="00BF6237"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양에</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대한</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구체적</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방침은</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카탈로그에</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제시되어</w:t>
      </w:r>
      <w:r w:rsidR="00D777E8" w:rsidRPr="005D1904">
        <w:rPr>
          <w:rFonts w:ascii="Tahoma" w:eastAsia="바탕" w:hAnsi="Tahoma" w:cs="바탕"/>
          <w:sz w:val="20"/>
          <w:szCs w:val="20"/>
          <w:lang w:eastAsia="ko-KR"/>
        </w:rPr>
        <w:t xml:space="preserve"> </w:t>
      </w:r>
      <w:r w:rsidR="00D777E8" w:rsidRPr="005D1904">
        <w:rPr>
          <w:rFonts w:ascii="Tahoma" w:eastAsia="바탕" w:hAnsi="Tahoma" w:cs="바탕"/>
          <w:sz w:val="20"/>
          <w:szCs w:val="20"/>
          <w:lang w:eastAsia="ko-KR"/>
        </w:rPr>
        <w:t>있습니다</w:t>
      </w:r>
      <w:r w:rsidR="00D777E8" w:rsidRPr="005D1904">
        <w:rPr>
          <w:rFonts w:ascii="Tahoma" w:eastAsia="바탕" w:hAnsi="Tahoma" w:cs="바탕"/>
          <w:sz w:val="20"/>
          <w:szCs w:val="20"/>
          <w:lang w:eastAsia="ko-KR"/>
        </w:rPr>
        <w:t>.</w:t>
      </w:r>
    </w:p>
    <w:p w:rsidR="00D777E8" w:rsidRPr="005D1904" w:rsidRDefault="00D777E8"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인정된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본</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이수해야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하는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줄일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있습니다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그러나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대학부는</w:t>
      </w:r>
      <w:r w:rsidRPr="005D1904">
        <w:rPr>
          <w:rFonts w:ascii="Tahoma" w:eastAsia="바탕" w:hAnsi="Tahoma" w:cs="바탕"/>
          <w:sz w:val="20"/>
          <w:szCs w:val="20"/>
          <w:lang w:eastAsia="ko-KR"/>
        </w:rPr>
        <w:t xml:space="preserve"> 64</w:t>
      </w:r>
      <w:r w:rsidRPr="005D1904">
        <w:rPr>
          <w:rFonts w:ascii="Tahoma" w:eastAsia="바탕" w:hAnsi="Tahoma" w:cs="바탕"/>
          <w:sz w:val="20"/>
          <w:szCs w:val="20"/>
          <w:lang w:eastAsia="ko-KR"/>
        </w:rPr>
        <w:t>학점까지만</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타학교의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트랜스퍼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할수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있고</w:t>
      </w:r>
      <w:r w:rsidRPr="005D1904">
        <w:rPr>
          <w:rFonts w:ascii="Tahoma" w:eastAsia="바탕" w:hAnsi="Tahoma" w:cs="바탕"/>
          <w:sz w:val="20"/>
          <w:szCs w:val="20"/>
          <w:lang w:eastAsia="ko-KR"/>
        </w:rPr>
        <w:t xml:space="preserve">, M.Div. </w:t>
      </w:r>
      <w:r w:rsidRPr="005D1904">
        <w:rPr>
          <w:rFonts w:ascii="Tahoma" w:eastAsia="바탕" w:hAnsi="Tahoma" w:cs="바탕"/>
          <w:sz w:val="20"/>
          <w:szCs w:val="20"/>
          <w:lang w:eastAsia="ko-KR"/>
        </w:rPr>
        <w:t>대학원은</w:t>
      </w:r>
      <w:r w:rsidRPr="005D1904">
        <w:rPr>
          <w:rFonts w:ascii="Tahoma" w:eastAsia="바탕" w:hAnsi="Tahoma" w:cs="바탕"/>
          <w:sz w:val="20"/>
          <w:szCs w:val="20"/>
          <w:lang w:eastAsia="ko-KR"/>
        </w:rPr>
        <w:t xml:space="preserve"> 52 </w:t>
      </w:r>
      <w:r w:rsidRPr="005D1904">
        <w:rPr>
          <w:rFonts w:ascii="Tahoma" w:eastAsia="바탕" w:hAnsi="Tahoma" w:cs="바탕"/>
          <w:sz w:val="20"/>
          <w:szCs w:val="20"/>
          <w:lang w:eastAsia="ko-KR"/>
        </w:rPr>
        <w:t>학점까지만</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그리고</w:t>
      </w:r>
      <w:r w:rsidRPr="005D1904">
        <w:rPr>
          <w:rFonts w:ascii="Tahoma" w:eastAsia="바탕" w:hAnsi="Tahoma" w:cs="바탕"/>
          <w:sz w:val="20"/>
          <w:szCs w:val="20"/>
          <w:lang w:eastAsia="ko-KR"/>
        </w:rPr>
        <w:t xml:space="preserve"> M.A. </w:t>
      </w:r>
      <w:r w:rsidRPr="005D1904">
        <w:rPr>
          <w:rFonts w:ascii="Tahoma" w:eastAsia="바탕" w:hAnsi="Tahoma" w:cs="바탕"/>
          <w:sz w:val="20"/>
          <w:szCs w:val="20"/>
          <w:lang w:eastAsia="ko-KR"/>
        </w:rPr>
        <w:t>대학원은</w:t>
      </w:r>
      <w:r w:rsidRPr="005D1904">
        <w:rPr>
          <w:rFonts w:ascii="Tahoma" w:eastAsia="바탕" w:hAnsi="Tahoma" w:cs="바탕"/>
          <w:sz w:val="20"/>
          <w:szCs w:val="20"/>
          <w:lang w:eastAsia="ko-KR"/>
        </w:rPr>
        <w:t xml:space="preserve"> 34</w:t>
      </w:r>
      <w:r w:rsidRPr="005D1904">
        <w:rPr>
          <w:rFonts w:ascii="Tahoma" w:eastAsia="바탕" w:hAnsi="Tahoma" w:cs="바탕"/>
          <w:sz w:val="20"/>
          <w:szCs w:val="20"/>
          <w:lang w:eastAsia="ko-KR"/>
        </w:rPr>
        <w:t>학점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까지만</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트랜스퍼가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가능합니다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본교는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경험적</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학급에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의한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실천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인정하지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않습니다</w:t>
      </w:r>
      <w:r w:rsidRPr="005D1904">
        <w:rPr>
          <w:rFonts w:ascii="Tahoma" w:eastAsia="바탕" w:hAnsi="Tahoma" w:cs="바탕"/>
          <w:sz w:val="20"/>
          <w:szCs w:val="20"/>
          <w:lang w:eastAsia="ko-KR"/>
        </w:rPr>
        <w:t>.</w:t>
      </w:r>
    </w:p>
    <w:p w:rsidR="00D777E8" w:rsidRPr="005D1904" w:rsidRDefault="00D777E8"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lastRenderedPageBreak/>
        <w:t>원칙적으로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받았거나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허가된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학교로부터의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성적만을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전입</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학점으로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줄수가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있습니다</w:t>
      </w:r>
      <w:r w:rsidRPr="005D1904">
        <w:rPr>
          <w:rFonts w:ascii="Tahoma" w:eastAsia="바탕" w:hAnsi="Tahoma" w:cs="바탕"/>
          <w:sz w:val="20"/>
          <w:szCs w:val="20"/>
          <w:lang w:eastAsia="ko-KR"/>
        </w:rPr>
        <w:t>. Vine</w:t>
      </w:r>
      <w:r w:rsidRPr="005D1904">
        <w:rPr>
          <w:rFonts w:ascii="Tahoma" w:eastAsia="바탕" w:hAnsi="Tahoma" w:cs="바탕"/>
          <w:sz w:val="20"/>
          <w:szCs w:val="20"/>
          <w:lang w:eastAsia="ko-KR"/>
        </w:rPr>
        <w:t>는</w:t>
      </w:r>
      <w:r w:rsidRPr="005D1904">
        <w:rPr>
          <w:rFonts w:ascii="Tahoma" w:eastAsia="바탕" w:hAnsi="Tahoma" w:cs="바탕"/>
          <w:sz w:val="20"/>
          <w:szCs w:val="20"/>
          <w:lang w:eastAsia="ko-KR"/>
        </w:rPr>
        <w:t xml:space="preserve"> CHEA</w:t>
      </w:r>
      <w:r w:rsidRPr="005D1904">
        <w:rPr>
          <w:rFonts w:ascii="Tahoma" w:eastAsia="바탕" w:hAnsi="Tahoma" w:cs="바탕"/>
          <w:sz w:val="20"/>
          <w:szCs w:val="20"/>
          <w:lang w:eastAsia="ko-KR"/>
        </w:rPr>
        <w:t>나</w:t>
      </w:r>
      <w:r w:rsidRPr="005D1904">
        <w:rPr>
          <w:rFonts w:ascii="Tahoma" w:eastAsia="바탕" w:hAnsi="Tahoma" w:cs="바탕"/>
          <w:sz w:val="20"/>
          <w:szCs w:val="20"/>
          <w:lang w:eastAsia="ko-KR"/>
        </w:rPr>
        <w:t xml:space="preserve"> USDE</w:t>
      </w:r>
      <w:r w:rsidRPr="005D1904">
        <w:rPr>
          <w:rFonts w:ascii="Tahoma" w:eastAsia="바탕" w:hAnsi="Tahoma" w:cs="바탕"/>
          <w:sz w:val="20"/>
          <w:szCs w:val="20"/>
          <w:lang w:eastAsia="ko-KR"/>
        </w:rPr>
        <w:t>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인정하는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인가기관으로부터</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인가를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받은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취득한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학점만을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인정합니다</w:t>
      </w:r>
      <w:r w:rsidRPr="005D1904">
        <w:rPr>
          <w:rFonts w:ascii="Tahoma" w:eastAsia="바탕" w:hAnsi="Tahoma" w:cs="바탕"/>
          <w:sz w:val="20"/>
          <w:szCs w:val="20"/>
          <w:lang w:eastAsia="ko-KR"/>
        </w:rPr>
        <w:t>.</w:t>
      </w:r>
    </w:p>
    <w:p w:rsidR="00D777E8" w:rsidRPr="005D1904" w:rsidRDefault="00D777E8"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한국</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교육부</w:t>
      </w:r>
      <w:r w:rsidRPr="005D1904">
        <w:rPr>
          <w:rFonts w:ascii="Tahoma" w:eastAsia="바탕" w:hAnsi="Tahoma" w:cs="바탕"/>
          <w:sz w:val="20"/>
          <w:szCs w:val="20"/>
          <w:lang w:eastAsia="ko-KR"/>
        </w:rPr>
        <w:t>(Korean Ministry of Education)</w:t>
      </w:r>
      <w:r w:rsidRPr="005D1904">
        <w:rPr>
          <w:rFonts w:ascii="Tahoma" w:eastAsia="바탕" w:hAnsi="Tahoma" w:cs="바탕"/>
          <w:sz w:val="20"/>
          <w:szCs w:val="20"/>
          <w:lang w:eastAsia="ko-KR"/>
        </w:rPr>
        <w:t>가</w:t>
      </w:r>
      <w:r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출판한</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책에</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등록된</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한국의</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학교에서</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얻은</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학점들은</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인정됩니다</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이</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학교들은</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미국의</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인가된</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학교들과</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같은</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수준으로</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여겨</w:t>
      </w:r>
      <w:r w:rsidR="00177FD1" w:rsidRPr="005D1904">
        <w:rPr>
          <w:rFonts w:ascii="Tahoma" w:eastAsia="바탕" w:hAnsi="Tahoma" w:cs="바탕"/>
          <w:sz w:val="20"/>
          <w:szCs w:val="20"/>
          <w:lang w:eastAsia="ko-KR"/>
        </w:rPr>
        <w:t xml:space="preserve"> </w:t>
      </w:r>
      <w:r w:rsidR="00177FD1" w:rsidRPr="005D1904">
        <w:rPr>
          <w:rFonts w:ascii="Tahoma" w:eastAsia="바탕" w:hAnsi="Tahoma" w:cs="바탕"/>
          <w:sz w:val="20"/>
          <w:szCs w:val="20"/>
          <w:lang w:eastAsia="ko-KR"/>
        </w:rPr>
        <w:t>집니다</w:t>
      </w:r>
      <w:r w:rsidR="00177FD1" w:rsidRPr="005D1904">
        <w:rPr>
          <w:rFonts w:ascii="Tahoma" w:eastAsia="바탕" w:hAnsi="Tahoma" w:cs="바탕"/>
          <w:sz w:val="20"/>
          <w:szCs w:val="20"/>
          <w:lang w:eastAsia="ko-KR"/>
        </w:rPr>
        <w:t>.</w:t>
      </w:r>
    </w:p>
    <w:p w:rsidR="00177FD1" w:rsidRPr="005D1904" w:rsidRDefault="00177FD1"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California BPPVE</w:t>
      </w:r>
      <w:r w:rsidRPr="005D1904">
        <w:rPr>
          <w:rFonts w:ascii="Tahoma" w:eastAsia="바탕" w:hAnsi="Tahoma" w:cs="바탕"/>
          <w:sz w:val="20"/>
          <w:szCs w:val="20"/>
          <w:lang w:eastAsia="ko-KR"/>
        </w:rPr>
        <w:t>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의해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인가된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사립하교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혹은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외에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인가되지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않은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이수한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학장의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판단</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하에</w:t>
      </w:r>
      <w:r w:rsidRPr="005D1904">
        <w:rPr>
          <w:rFonts w:ascii="Tahoma" w:eastAsia="바탕" w:hAnsi="Tahoma" w:cs="바탕"/>
          <w:sz w:val="20"/>
          <w:szCs w:val="20"/>
          <w:lang w:eastAsia="ko-KR"/>
        </w:rPr>
        <w:t xml:space="preserve"> 1/3</w:t>
      </w:r>
      <w:r w:rsidRPr="005D1904">
        <w:rPr>
          <w:rFonts w:ascii="Tahoma" w:eastAsia="바탕" w:hAnsi="Tahoma" w:cs="바탕"/>
          <w:sz w:val="20"/>
          <w:szCs w:val="20"/>
          <w:lang w:eastAsia="ko-KR"/>
        </w:rPr>
        <w:t>까지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인정받을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있는데</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한도는</w:t>
      </w:r>
      <w:r w:rsidRPr="005D1904">
        <w:rPr>
          <w:rFonts w:ascii="Tahoma" w:eastAsia="바탕" w:hAnsi="Tahoma" w:cs="바탕"/>
          <w:sz w:val="20"/>
          <w:szCs w:val="20"/>
          <w:lang w:eastAsia="ko-KR"/>
        </w:rPr>
        <w:t xml:space="preserve"> 20</w:t>
      </w:r>
      <w:r w:rsidRPr="005D1904">
        <w:rPr>
          <w:rFonts w:ascii="Tahoma" w:eastAsia="바탕" w:hAnsi="Tahoma" w:cs="바탕"/>
          <w:sz w:val="20"/>
          <w:szCs w:val="20"/>
          <w:lang w:eastAsia="ko-KR"/>
        </w:rPr>
        <w:t>학점까지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입니다</w:t>
      </w:r>
      <w:r w:rsidRPr="005D1904">
        <w:rPr>
          <w:rFonts w:ascii="Tahoma" w:eastAsia="바탕" w:hAnsi="Tahoma" w:cs="바탕"/>
          <w:sz w:val="20"/>
          <w:szCs w:val="20"/>
          <w:lang w:eastAsia="ko-KR"/>
        </w:rPr>
        <w:t>.</w:t>
      </w:r>
    </w:p>
    <w:p w:rsidR="00177FD1" w:rsidRPr="005D1904" w:rsidRDefault="00177FD1"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대학원은</w:t>
      </w:r>
      <w:r w:rsidRPr="005D1904">
        <w:rPr>
          <w:rFonts w:ascii="Tahoma" w:eastAsia="바탕" w:hAnsi="Tahoma" w:cs="바탕"/>
          <w:sz w:val="20"/>
          <w:szCs w:val="20"/>
          <w:lang w:eastAsia="ko-KR"/>
        </w:rPr>
        <w:t xml:space="preserve"> “B” </w:t>
      </w:r>
      <w:r w:rsidRPr="005D1904">
        <w:rPr>
          <w:rFonts w:ascii="Tahoma" w:eastAsia="바탕" w:hAnsi="Tahoma" w:cs="바탕"/>
          <w:sz w:val="20"/>
          <w:szCs w:val="20"/>
          <w:lang w:eastAsia="ko-KR"/>
        </w:rPr>
        <w:t>학점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이상의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학점만이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인정받고</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대학부는</w:t>
      </w:r>
      <w:r w:rsidRPr="005D1904">
        <w:rPr>
          <w:rFonts w:ascii="Tahoma" w:eastAsia="바탕" w:hAnsi="Tahoma" w:cs="바탕"/>
          <w:sz w:val="20"/>
          <w:szCs w:val="20"/>
          <w:lang w:eastAsia="ko-KR"/>
        </w:rPr>
        <w:t xml:space="preserve"> “C” </w:t>
      </w:r>
      <w:r w:rsidRPr="005D1904">
        <w:rPr>
          <w:rFonts w:ascii="Tahoma" w:eastAsia="바탕" w:hAnsi="Tahoma" w:cs="바탕"/>
          <w:sz w:val="20"/>
          <w:szCs w:val="20"/>
          <w:lang w:eastAsia="ko-KR"/>
        </w:rPr>
        <w:t>학점까지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받을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있습니다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학교의</w:t>
      </w:r>
      <w:r w:rsidRPr="005D1904">
        <w:rPr>
          <w:rFonts w:ascii="Tahoma" w:eastAsia="바탕" w:hAnsi="Tahoma" w:cs="바탕"/>
          <w:sz w:val="20"/>
          <w:szCs w:val="20"/>
          <w:lang w:eastAsia="ko-KR"/>
        </w:rPr>
        <w:t xml:space="preserve"> GPA</w:t>
      </w:r>
      <w:r w:rsidRPr="005D1904">
        <w:rPr>
          <w:rFonts w:ascii="Tahoma" w:eastAsia="바탕" w:hAnsi="Tahoma" w:cs="바탕"/>
          <w:sz w:val="20"/>
          <w:szCs w:val="20"/>
          <w:lang w:eastAsia="ko-KR"/>
        </w:rPr>
        <w:t>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이전되지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않습니다</w:t>
      </w:r>
      <w:r w:rsidRPr="005D1904">
        <w:rPr>
          <w:rFonts w:ascii="Tahoma" w:eastAsia="바탕" w:hAnsi="Tahoma" w:cs="바탕"/>
          <w:sz w:val="20"/>
          <w:szCs w:val="20"/>
          <w:lang w:eastAsia="ko-KR"/>
        </w:rPr>
        <w:t>.</w:t>
      </w:r>
    </w:p>
    <w:p w:rsidR="00177FD1" w:rsidRPr="005D1904" w:rsidRDefault="00177FD1"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직업훈련원에서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얻은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학점은</w:t>
      </w:r>
      <w:r w:rsidRPr="005D1904">
        <w:rPr>
          <w:rFonts w:ascii="Tahoma" w:eastAsia="바탕" w:hAnsi="Tahoma" w:cs="바탕"/>
          <w:sz w:val="20"/>
          <w:szCs w:val="20"/>
          <w:lang w:eastAsia="ko-KR"/>
        </w:rPr>
        <w:t xml:space="preserve"> Vine</w:t>
      </w:r>
      <w:r w:rsidRPr="005D1904">
        <w:rPr>
          <w:rFonts w:ascii="Tahoma" w:eastAsia="바탕" w:hAnsi="Tahoma" w:cs="바탕"/>
          <w:sz w:val="20"/>
          <w:szCs w:val="20"/>
          <w:lang w:eastAsia="ko-KR"/>
        </w:rPr>
        <w:t>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학위과정이나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수료</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과정에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인정되지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않습니다</w:t>
      </w:r>
      <w:r w:rsidRPr="005D1904">
        <w:rPr>
          <w:rFonts w:ascii="Tahoma" w:eastAsia="바탕" w:hAnsi="Tahoma" w:cs="바탕"/>
          <w:sz w:val="20"/>
          <w:szCs w:val="20"/>
          <w:lang w:eastAsia="ko-KR"/>
        </w:rPr>
        <w:t>.</w:t>
      </w:r>
    </w:p>
    <w:p w:rsidR="00177FD1" w:rsidRPr="005D1904" w:rsidRDefault="00177FD1" w:rsidP="005D1904">
      <w:pPr>
        <w:pStyle w:val="ListParagraph"/>
        <w:numPr>
          <w:ilvl w:val="0"/>
          <w:numId w:val="6"/>
        </w:numPr>
        <w:spacing w:line="360" w:lineRule="auto"/>
        <w:rPr>
          <w:rFonts w:ascii="Tahoma" w:eastAsia="바탕" w:hAnsi="Tahoma" w:cs="바탕"/>
          <w:sz w:val="20"/>
          <w:szCs w:val="20"/>
          <w:lang w:eastAsia="ko-KR"/>
        </w:rPr>
      </w:pPr>
      <w:r w:rsidRPr="005D1904">
        <w:rPr>
          <w:rFonts w:ascii="Tahoma" w:eastAsia="바탕" w:hAnsi="Tahoma" w:cs="바탕"/>
          <w:sz w:val="20"/>
          <w:szCs w:val="20"/>
          <w:lang w:eastAsia="ko-KR"/>
        </w:rPr>
        <w:t>어떤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학생이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알려지지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않는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본</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전학을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온</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경우는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본교의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교무직원이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그학교를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방문할</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수가</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있습니다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방문해서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그</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학업수준을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알아보고</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수준에</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따라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얼마의</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학점을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인정해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줄지를</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결정합니다</w:t>
      </w:r>
      <w:r w:rsidRPr="005D1904">
        <w:rPr>
          <w:rFonts w:ascii="Tahoma" w:eastAsia="바탕" w:hAnsi="Tahoma" w:cs="바탕"/>
          <w:sz w:val="20"/>
          <w:szCs w:val="20"/>
          <w:lang w:eastAsia="ko-KR"/>
        </w:rPr>
        <w:t>.</w:t>
      </w:r>
    </w:p>
    <w:p w:rsidR="00AF39DC" w:rsidRPr="00AF39DC" w:rsidRDefault="00AF39DC" w:rsidP="005D1904">
      <w:pPr>
        <w:pStyle w:val="ListParagraph"/>
        <w:numPr>
          <w:ilvl w:val="0"/>
          <w:numId w:val="6"/>
        </w:numPr>
        <w:spacing w:line="360" w:lineRule="auto"/>
        <w:rPr>
          <w:rFonts w:ascii="Tahoma" w:eastAsia="바탕" w:hAnsi="Tahoma" w:cs="바탕"/>
          <w:lang w:eastAsia="ko-KR"/>
        </w:rPr>
      </w:pPr>
      <w:r w:rsidRPr="005D1904">
        <w:rPr>
          <w:rFonts w:ascii="Tahoma" w:eastAsia="바탕" w:hAnsi="Tahoma" w:cs="바탕"/>
          <w:sz w:val="20"/>
          <w:szCs w:val="20"/>
          <w:lang w:eastAsia="ko-KR"/>
        </w:rPr>
        <w:t>본교는</w:t>
      </w:r>
      <w:r w:rsidRPr="005D1904">
        <w:rPr>
          <w:rFonts w:ascii="Tahoma" w:eastAsia="바탕" w:hAnsi="Tahoma" w:cs="바탕"/>
          <w:sz w:val="20"/>
          <w:szCs w:val="20"/>
          <w:lang w:eastAsia="ko-KR"/>
        </w:rPr>
        <w:t xml:space="preserve"> Semester System</w:t>
      </w:r>
      <w:r w:rsidRPr="005D1904">
        <w:rPr>
          <w:rFonts w:ascii="Tahoma" w:eastAsia="바탕" w:hAnsi="Tahoma" w:cs="바탕"/>
          <w:sz w:val="20"/>
          <w:szCs w:val="20"/>
          <w:lang w:eastAsia="ko-KR"/>
        </w:rPr>
        <w:t>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쓰고</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있습니다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어떤</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학생이</w:t>
      </w:r>
      <w:r w:rsidRPr="005D1904">
        <w:rPr>
          <w:rFonts w:ascii="Tahoma" w:eastAsia="바탕" w:hAnsi="Tahoma" w:cs="바탕"/>
          <w:sz w:val="20"/>
          <w:szCs w:val="20"/>
          <w:lang w:eastAsia="ko-KR"/>
        </w:rPr>
        <w:t xml:space="preserve"> Quarter System</w:t>
      </w:r>
      <w:r w:rsidRPr="005D1904">
        <w:rPr>
          <w:rFonts w:ascii="Tahoma" w:eastAsia="바탕" w:hAnsi="Tahoma" w:cs="바탕"/>
          <w:sz w:val="20"/>
          <w:szCs w:val="20"/>
          <w:lang w:eastAsia="ko-KR"/>
        </w:rPr>
        <w:t>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쓰는</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학교에서</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전입을</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해</w:t>
      </w:r>
      <w:r w:rsidRPr="005D1904">
        <w:rPr>
          <w:rFonts w:ascii="Tahoma" w:eastAsia="바탕" w:hAnsi="Tahoma" w:cs="바탕"/>
          <w:sz w:val="20"/>
          <w:szCs w:val="20"/>
          <w:lang w:eastAsia="ko-KR"/>
        </w:rPr>
        <w:t xml:space="preserve"> </w:t>
      </w:r>
      <w:r w:rsidRPr="005D1904">
        <w:rPr>
          <w:rFonts w:ascii="Tahoma" w:eastAsia="바탕" w:hAnsi="Tahoma" w:cs="바탕"/>
          <w:sz w:val="20"/>
          <w:szCs w:val="20"/>
          <w:lang w:eastAsia="ko-KR"/>
        </w:rPr>
        <w:t>왔다면</w:t>
      </w:r>
      <w:r w:rsidRPr="005D1904">
        <w:rPr>
          <w:rFonts w:ascii="Tahoma" w:eastAsia="바탕" w:hAnsi="Tahoma" w:cs="바탕"/>
          <w:sz w:val="20"/>
          <w:szCs w:val="20"/>
          <w:lang w:eastAsia="ko-KR"/>
        </w:rPr>
        <w:t xml:space="preserve">, </w:t>
      </w:r>
      <w:r w:rsidRPr="00950313">
        <w:rPr>
          <w:rFonts w:ascii="Tahoma" w:eastAsia="바탕" w:hAnsi="Tahoma" w:cs="바탕"/>
          <w:sz w:val="20"/>
          <w:szCs w:val="20"/>
          <w:lang w:eastAsia="ko-KR"/>
        </w:rPr>
        <w:t>학점의</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계산은</w:t>
      </w:r>
      <w:r w:rsidRPr="00950313">
        <w:rPr>
          <w:rFonts w:ascii="Tahoma" w:eastAsia="바탕" w:hAnsi="Tahoma" w:cs="바탕"/>
          <w:sz w:val="20"/>
          <w:szCs w:val="20"/>
          <w:lang w:eastAsia="ko-KR"/>
        </w:rPr>
        <w:t xml:space="preserve"> 3:2</w:t>
      </w:r>
      <w:r w:rsidRPr="00950313">
        <w:rPr>
          <w:rFonts w:ascii="Tahoma" w:eastAsia="바탕" w:hAnsi="Tahoma" w:cs="바탕"/>
          <w:sz w:val="20"/>
          <w:szCs w:val="20"/>
          <w:lang w:eastAsia="ko-KR"/>
        </w:rPr>
        <w:t>의</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비율로</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계산합니다</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예를</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들면</w:t>
      </w:r>
      <w:r w:rsidRPr="00950313">
        <w:rPr>
          <w:rFonts w:ascii="Tahoma" w:eastAsia="바탕" w:hAnsi="Tahoma" w:cs="바탕"/>
          <w:sz w:val="20"/>
          <w:szCs w:val="20"/>
          <w:lang w:eastAsia="ko-KR"/>
        </w:rPr>
        <w:t xml:space="preserve"> Quarter System</w:t>
      </w:r>
      <w:r w:rsidRPr="00950313">
        <w:rPr>
          <w:rFonts w:ascii="Tahoma" w:eastAsia="바탕" w:hAnsi="Tahoma" w:cs="바탕"/>
          <w:sz w:val="20"/>
          <w:szCs w:val="20"/>
          <w:lang w:eastAsia="ko-KR"/>
        </w:rPr>
        <w:t>에서</w:t>
      </w:r>
      <w:r w:rsidRPr="00950313">
        <w:rPr>
          <w:rFonts w:ascii="Tahoma" w:eastAsia="바탕" w:hAnsi="Tahoma" w:cs="바탕"/>
          <w:sz w:val="20"/>
          <w:szCs w:val="20"/>
          <w:lang w:eastAsia="ko-KR"/>
        </w:rPr>
        <w:t xml:space="preserve"> 12</w:t>
      </w:r>
      <w:r w:rsidRPr="00950313">
        <w:rPr>
          <w:rFonts w:ascii="Tahoma" w:eastAsia="바탕" w:hAnsi="Tahoma" w:cs="바탕"/>
          <w:sz w:val="20"/>
          <w:szCs w:val="20"/>
          <w:lang w:eastAsia="ko-KR"/>
        </w:rPr>
        <w:t>학점을</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취득하였으면</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본교에서는</w:t>
      </w:r>
      <w:r w:rsidRPr="00950313">
        <w:rPr>
          <w:rFonts w:ascii="Tahoma" w:eastAsia="바탕" w:hAnsi="Tahoma" w:cs="바탕"/>
          <w:sz w:val="20"/>
          <w:szCs w:val="20"/>
          <w:lang w:eastAsia="ko-KR"/>
        </w:rPr>
        <w:t xml:space="preserve"> 8</w:t>
      </w:r>
      <w:r w:rsidRPr="00950313">
        <w:rPr>
          <w:rFonts w:ascii="Tahoma" w:eastAsia="바탕" w:hAnsi="Tahoma" w:cs="바탕"/>
          <w:sz w:val="20"/>
          <w:szCs w:val="20"/>
          <w:lang w:eastAsia="ko-KR"/>
        </w:rPr>
        <w:t>학점으로</w:t>
      </w:r>
      <w:r w:rsidRPr="00950313">
        <w:rPr>
          <w:rFonts w:ascii="Tahoma" w:eastAsia="바탕" w:hAnsi="Tahoma" w:cs="바탕"/>
          <w:sz w:val="20"/>
          <w:szCs w:val="20"/>
          <w:lang w:eastAsia="ko-KR"/>
        </w:rPr>
        <w:t xml:space="preserve"> </w:t>
      </w:r>
      <w:r w:rsidRPr="00950313">
        <w:rPr>
          <w:rFonts w:ascii="Tahoma" w:eastAsia="바탕" w:hAnsi="Tahoma" w:cs="바탕"/>
          <w:sz w:val="20"/>
          <w:szCs w:val="20"/>
          <w:lang w:eastAsia="ko-KR"/>
        </w:rPr>
        <w:t>계산됩니다</w:t>
      </w:r>
      <w:r w:rsidRPr="00950313">
        <w:rPr>
          <w:rFonts w:ascii="Tahoma" w:eastAsia="바탕" w:hAnsi="Tahoma" w:cs="바탕"/>
          <w:sz w:val="20"/>
          <w:szCs w:val="20"/>
          <w:lang w:eastAsia="ko-KR"/>
        </w:rPr>
        <w:t>.</w:t>
      </w:r>
      <w:bookmarkStart w:id="0" w:name="_GoBack"/>
      <w:bookmarkEnd w:id="0"/>
    </w:p>
    <w:sectPr w:rsidR="00AF39DC" w:rsidRPr="00AF39DC" w:rsidSect="005D1904">
      <w:headerReference w:type="even" r:id="rId10"/>
      <w:headerReference w:type="default" r:id="rId11"/>
      <w:footerReference w:type="default" r:id="rId12"/>
      <w:pgSz w:w="12240" w:h="15840"/>
      <w:pgMar w:top="1440" w:right="81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04" w:rsidRDefault="005D1904" w:rsidP="005D1904">
      <w:r>
        <w:separator/>
      </w:r>
    </w:p>
  </w:endnote>
  <w:endnote w:type="continuationSeparator" w:id="0">
    <w:p w:rsidR="005D1904" w:rsidRDefault="005D1904" w:rsidP="005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04" w:rsidRPr="00950313" w:rsidRDefault="00950313">
    <w:pPr>
      <w:pStyle w:val="Footer"/>
      <w:rPr>
        <w:rFonts w:ascii="Tahoma" w:hAnsi="Tahoma"/>
        <w:sz w:val="16"/>
        <w:szCs w:val="16"/>
      </w:rPr>
    </w:pPr>
    <w:r w:rsidRPr="00950313">
      <w:rPr>
        <w:rFonts w:ascii="Tahoma" w:hAnsi="Tahoma"/>
        <w:sz w:val="16"/>
        <w:szCs w:val="16"/>
      </w:rPr>
      <w:t xml:space="preserve">14253 Erwin Street, Van Nuys, CA 91401 Phone: (818) 781-1515 / Fax (818) 781-1519 Website: </w:t>
    </w:r>
    <w:hyperlink r:id="rId1" w:history="1">
      <w:r w:rsidRPr="00094988">
        <w:rPr>
          <w:rStyle w:val="Hyperlink"/>
          <w:rFonts w:ascii="Tahoma" w:hAnsi="Tahoma"/>
          <w:sz w:val="16"/>
          <w:szCs w:val="16"/>
        </w:rPr>
        <w:t>www.vine.ac</w:t>
      </w:r>
    </w:hyperlink>
    <w:r>
      <w:rPr>
        <w:rFonts w:ascii="Tahoma" w:hAnsi="Tahoma"/>
        <w:sz w:val="16"/>
        <w:szCs w:val="16"/>
      </w:rPr>
      <w:t xml:space="preserve"> / E-mail: admissions@vine.ac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04" w:rsidRDefault="005D1904" w:rsidP="005D1904">
      <w:r>
        <w:separator/>
      </w:r>
    </w:p>
  </w:footnote>
  <w:footnote w:type="continuationSeparator" w:id="0">
    <w:p w:rsidR="005D1904" w:rsidRDefault="005D1904" w:rsidP="005D19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3" w:rsidRDefault="00950313" w:rsidP="00094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313" w:rsidRDefault="00950313" w:rsidP="009503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3" w:rsidRPr="00950313" w:rsidRDefault="00950313" w:rsidP="00094988">
    <w:pPr>
      <w:pStyle w:val="Header"/>
      <w:framePr w:wrap="around" w:vAnchor="text" w:hAnchor="margin" w:xAlign="right" w:y="1"/>
      <w:rPr>
        <w:rStyle w:val="PageNumber"/>
        <w:rFonts w:ascii="Tahoma" w:hAnsi="Tahoma"/>
        <w:sz w:val="22"/>
        <w:szCs w:val="22"/>
      </w:rPr>
    </w:pPr>
    <w:r w:rsidRPr="00950313">
      <w:rPr>
        <w:rStyle w:val="PageNumber"/>
        <w:rFonts w:ascii="Tahoma" w:hAnsi="Tahoma"/>
        <w:sz w:val="22"/>
        <w:szCs w:val="22"/>
      </w:rPr>
      <w:fldChar w:fldCharType="begin"/>
    </w:r>
    <w:r w:rsidRPr="00950313">
      <w:rPr>
        <w:rStyle w:val="PageNumber"/>
        <w:rFonts w:ascii="Tahoma" w:hAnsi="Tahoma"/>
        <w:sz w:val="22"/>
        <w:szCs w:val="22"/>
      </w:rPr>
      <w:instrText xml:space="preserve">PAGE  </w:instrText>
    </w:r>
    <w:r w:rsidRPr="00950313">
      <w:rPr>
        <w:rStyle w:val="PageNumber"/>
        <w:rFonts w:ascii="Tahoma" w:hAnsi="Tahoma"/>
        <w:sz w:val="22"/>
        <w:szCs w:val="22"/>
      </w:rPr>
      <w:fldChar w:fldCharType="separate"/>
    </w:r>
    <w:r>
      <w:rPr>
        <w:rStyle w:val="PageNumber"/>
        <w:rFonts w:ascii="Tahoma" w:hAnsi="Tahoma"/>
        <w:noProof/>
        <w:sz w:val="22"/>
        <w:szCs w:val="22"/>
      </w:rPr>
      <w:t>1</w:t>
    </w:r>
    <w:r w:rsidRPr="00950313">
      <w:rPr>
        <w:rStyle w:val="PageNumber"/>
        <w:rFonts w:ascii="Tahoma" w:hAnsi="Tahoma"/>
        <w:sz w:val="22"/>
        <w:szCs w:val="22"/>
      </w:rPr>
      <w:fldChar w:fldCharType="end"/>
    </w:r>
  </w:p>
  <w:p w:rsidR="00950313" w:rsidRDefault="00950313" w:rsidP="0095031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E19"/>
    <w:multiLevelType w:val="hybridMultilevel"/>
    <w:tmpl w:val="9974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42E2B"/>
    <w:multiLevelType w:val="hybridMultilevel"/>
    <w:tmpl w:val="B88E8E9C"/>
    <w:lvl w:ilvl="0" w:tplc="5A6AEF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057B7"/>
    <w:multiLevelType w:val="hybridMultilevel"/>
    <w:tmpl w:val="9C1EB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4D462C"/>
    <w:multiLevelType w:val="hybridMultilevel"/>
    <w:tmpl w:val="8970F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D3D89"/>
    <w:multiLevelType w:val="hybridMultilevel"/>
    <w:tmpl w:val="DDA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A6FA4"/>
    <w:multiLevelType w:val="hybridMultilevel"/>
    <w:tmpl w:val="63BA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E8"/>
    <w:rsid w:val="00037721"/>
    <w:rsid w:val="00177FD1"/>
    <w:rsid w:val="005D1904"/>
    <w:rsid w:val="00850508"/>
    <w:rsid w:val="00950313"/>
    <w:rsid w:val="00AF39DC"/>
    <w:rsid w:val="00BF6237"/>
    <w:rsid w:val="00C401E8"/>
    <w:rsid w:val="00D777E8"/>
    <w:rsid w:val="00E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FB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E8"/>
    <w:pPr>
      <w:ind w:left="720"/>
      <w:contextualSpacing/>
    </w:pPr>
  </w:style>
  <w:style w:type="paragraph" w:styleId="Header">
    <w:name w:val="header"/>
    <w:basedOn w:val="Normal"/>
    <w:link w:val="HeaderChar"/>
    <w:uiPriority w:val="99"/>
    <w:unhideWhenUsed/>
    <w:rsid w:val="005D1904"/>
    <w:pPr>
      <w:tabs>
        <w:tab w:val="center" w:pos="4320"/>
        <w:tab w:val="right" w:pos="8640"/>
      </w:tabs>
    </w:pPr>
  </w:style>
  <w:style w:type="character" w:customStyle="1" w:styleId="HeaderChar">
    <w:name w:val="Header Char"/>
    <w:basedOn w:val="DefaultParagraphFont"/>
    <w:link w:val="Header"/>
    <w:uiPriority w:val="99"/>
    <w:rsid w:val="005D1904"/>
  </w:style>
  <w:style w:type="paragraph" w:styleId="Footer">
    <w:name w:val="footer"/>
    <w:basedOn w:val="Normal"/>
    <w:link w:val="FooterChar"/>
    <w:uiPriority w:val="99"/>
    <w:unhideWhenUsed/>
    <w:rsid w:val="005D1904"/>
    <w:pPr>
      <w:tabs>
        <w:tab w:val="center" w:pos="4320"/>
        <w:tab w:val="right" w:pos="8640"/>
      </w:tabs>
    </w:pPr>
  </w:style>
  <w:style w:type="character" w:customStyle="1" w:styleId="FooterChar">
    <w:name w:val="Footer Char"/>
    <w:basedOn w:val="DefaultParagraphFont"/>
    <w:link w:val="Footer"/>
    <w:uiPriority w:val="99"/>
    <w:rsid w:val="005D1904"/>
  </w:style>
  <w:style w:type="character" w:styleId="Hyperlink">
    <w:name w:val="Hyperlink"/>
    <w:basedOn w:val="DefaultParagraphFont"/>
    <w:uiPriority w:val="99"/>
    <w:unhideWhenUsed/>
    <w:rsid w:val="00950313"/>
    <w:rPr>
      <w:color w:val="0000FF" w:themeColor="hyperlink"/>
      <w:u w:val="single"/>
    </w:rPr>
  </w:style>
  <w:style w:type="character" w:styleId="PageNumber">
    <w:name w:val="page number"/>
    <w:basedOn w:val="DefaultParagraphFont"/>
    <w:uiPriority w:val="99"/>
    <w:semiHidden/>
    <w:unhideWhenUsed/>
    <w:rsid w:val="00950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E8"/>
    <w:pPr>
      <w:ind w:left="720"/>
      <w:contextualSpacing/>
    </w:pPr>
  </w:style>
  <w:style w:type="paragraph" w:styleId="Header">
    <w:name w:val="header"/>
    <w:basedOn w:val="Normal"/>
    <w:link w:val="HeaderChar"/>
    <w:uiPriority w:val="99"/>
    <w:unhideWhenUsed/>
    <w:rsid w:val="005D1904"/>
    <w:pPr>
      <w:tabs>
        <w:tab w:val="center" w:pos="4320"/>
        <w:tab w:val="right" w:pos="8640"/>
      </w:tabs>
    </w:pPr>
  </w:style>
  <w:style w:type="character" w:customStyle="1" w:styleId="HeaderChar">
    <w:name w:val="Header Char"/>
    <w:basedOn w:val="DefaultParagraphFont"/>
    <w:link w:val="Header"/>
    <w:uiPriority w:val="99"/>
    <w:rsid w:val="005D1904"/>
  </w:style>
  <w:style w:type="paragraph" w:styleId="Footer">
    <w:name w:val="footer"/>
    <w:basedOn w:val="Normal"/>
    <w:link w:val="FooterChar"/>
    <w:uiPriority w:val="99"/>
    <w:unhideWhenUsed/>
    <w:rsid w:val="005D1904"/>
    <w:pPr>
      <w:tabs>
        <w:tab w:val="center" w:pos="4320"/>
        <w:tab w:val="right" w:pos="8640"/>
      </w:tabs>
    </w:pPr>
  </w:style>
  <w:style w:type="character" w:customStyle="1" w:styleId="FooterChar">
    <w:name w:val="Footer Char"/>
    <w:basedOn w:val="DefaultParagraphFont"/>
    <w:link w:val="Footer"/>
    <w:uiPriority w:val="99"/>
    <w:rsid w:val="005D1904"/>
  </w:style>
  <w:style w:type="character" w:styleId="Hyperlink">
    <w:name w:val="Hyperlink"/>
    <w:basedOn w:val="DefaultParagraphFont"/>
    <w:uiPriority w:val="99"/>
    <w:unhideWhenUsed/>
    <w:rsid w:val="00950313"/>
    <w:rPr>
      <w:color w:val="0000FF" w:themeColor="hyperlink"/>
      <w:u w:val="single"/>
    </w:rPr>
  </w:style>
  <w:style w:type="character" w:styleId="PageNumber">
    <w:name w:val="page number"/>
    <w:basedOn w:val="DefaultParagraphFont"/>
    <w:uiPriority w:val="99"/>
    <w:semiHidden/>
    <w:unhideWhenUsed/>
    <w:rsid w:val="0095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n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83F2-E945-524D-ABD5-1505ECC4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1024</Words>
  <Characters>5502</Characters>
  <Application>Microsoft Macintosh Word</Application>
  <DocSecurity>0</DocSecurity>
  <Lines>305</Lines>
  <Paragraphs>30</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Kim</dc:creator>
  <cp:keywords/>
  <dc:description/>
  <cp:lastModifiedBy>Esther Kim</cp:lastModifiedBy>
  <cp:revision>1</cp:revision>
  <dcterms:created xsi:type="dcterms:W3CDTF">2015-05-11T23:34:00Z</dcterms:created>
  <dcterms:modified xsi:type="dcterms:W3CDTF">2015-05-12T03:36:00Z</dcterms:modified>
</cp:coreProperties>
</file>